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after="157" w:afterLines="50" w:line="360" w:lineRule="auto"/>
        <w:ind w:left="482" w:leftChars="0"/>
        <w:jc w:val="center"/>
        <w:textAlignment w:val="auto"/>
        <w:rPr>
          <w:rFonts w:hint="default" w:ascii="Times New Roman" w:hAnsi="Times New Roman" w:eastAsia="宋体" w:cs="Times New Roman"/>
          <w:sz w:val="24"/>
          <w:szCs w:val="24"/>
          <w:lang w:val="en-US" w:eastAsia="zh-CN"/>
        </w:rPr>
      </w:pPr>
      <w:r>
        <w:rPr>
          <w:rFonts w:hint="eastAsia" w:cs="Times New Roman"/>
          <w:b/>
          <w:bCs/>
          <w:sz w:val="32"/>
          <w:szCs w:val="32"/>
          <w:lang w:val="en-US" w:eastAsia="zh-CN"/>
        </w:rPr>
        <w:t>2023级中药学专业调研背景分析佐证</w:t>
      </w:r>
    </w:p>
    <w:p>
      <w:pPr>
        <w:numPr>
          <w:ilvl w:val="0"/>
          <w:numId w:val="0"/>
        </w:numPr>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cs="Times New Roman" w:eastAsiaTheme="minorEastAsia"/>
          <w:sz w:val="24"/>
          <w:szCs w:val="24"/>
        </w:rPr>
        <w:t>调研背景分析佐证。主要包括体现国家经济发展大背景，职业教育领域背景，本区域行业企业现状、发展状况及本专业的职业教育发展情况等相关佐证</w:t>
      </w:r>
      <w:r>
        <w:rPr>
          <w:rFonts w:hint="default" w:ascii="Times New Roman" w:hAnsi="Times New Roman" w:cs="Times New Roman" w:eastAsiaTheme="minorEastAsia"/>
          <w:sz w:val="24"/>
          <w:szCs w:val="24"/>
          <w:lang w:eastAsia="zh-CN"/>
        </w:rPr>
        <w:t>。</w:t>
      </w:r>
    </w:p>
    <w:p>
      <w:pPr>
        <w:pStyle w:val="2"/>
        <w:numPr>
          <w:ilvl w:val="0"/>
          <w:numId w:val="1"/>
        </w:numPr>
        <w:ind w:left="0" w:leftChars="0" w:firstLine="0" w:firstLineChars="0"/>
        <w:rPr>
          <w:rFonts w:hint="default"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kern w:val="2"/>
          <w:sz w:val="24"/>
          <w:szCs w:val="24"/>
          <w:lang w:val="en-US" w:eastAsia="zh-CN" w:bidi="ar-SA"/>
        </w:rPr>
        <w:t>职业教育发展背景</w:t>
      </w:r>
    </w:p>
    <w:p>
      <w:pPr>
        <w:pStyle w:val="2"/>
        <w:spacing w:line="360" w:lineRule="auto"/>
        <w:rPr>
          <w:rFonts w:hint="eastAsia" w:ascii="Times New Roman" w:hAnsi="Times New Roman" w:cs="Times New Roman" w:eastAsiaTheme="minorEastAsia"/>
          <w:kern w:val="2"/>
          <w:sz w:val="24"/>
          <w:szCs w:val="24"/>
          <w:lang w:val="en-US" w:eastAsia="zh-CN" w:bidi="ar-SA"/>
        </w:rPr>
      </w:pPr>
      <w:r>
        <w:rPr>
          <w:rFonts w:hint="eastAsia" w:ascii="Times New Roman" w:hAnsi="Times New Roman" w:cs="Times New Roman" w:eastAsiaTheme="minorEastAsia"/>
          <w:kern w:val="2"/>
          <w:sz w:val="24"/>
          <w:szCs w:val="24"/>
          <w:lang w:val="en-US" w:eastAsia="zh-CN" w:bidi="ar-SA"/>
        </w:rPr>
        <w:t>党的十八大以来，我国高度重视职业教育改革发展，习近平总书记先后于2014年、2021年两次专门就职业教育工作作出重要指示，国务院分别于2014年和2019年印发《关于加快发展现代职业教育的决定》和《国家职业教育改革实施方案》，教育部等六部门和教育部等九部门分别于2014年和2020年印发《现代职业教育体系建设规划（2014-2020年）》和《职业教育提质培优行动计划（2020-2023年）》，尤其是2021年全国职业教育大会的召开及中共中央办公厅、国务院办公厅《关于推动现代职业教育高质量发展的意见》的印发，与此前系列政策共同为推动我国职业教育高质量发展做出了顶层设计，创造了政策条件。</w:t>
      </w:r>
    </w:p>
    <w:p>
      <w:pPr>
        <w:pStyle w:val="2"/>
        <w:numPr>
          <w:ilvl w:val="0"/>
          <w:numId w:val="1"/>
        </w:numPr>
        <w:spacing w:line="360" w:lineRule="auto"/>
        <w:ind w:left="0" w:leftChars="0" w:firstLine="0" w:firstLineChars="0"/>
        <w:rPr>
          <w:rFonts w:hint="eastAsia" w:ascii="Times New Roman" w:hAnsi="Times New Roman" w:cs="Times New Roman" w:eastAsiaTheme="minorEastAsia"/>
          <w:kern w:val="2"/>
          <w:sz w:val="24"/>
          <w:szCs w:val="24"/>
          <w:lang w:val="en-US" w:eastAsia="zh-CN" w:bidi="ar-SA"/>
        </w:rPr>
      </w:pPr>
      <w:bookmarkStart w:id="0" w:name="_GoBack"/>
      <w:bookmarkEnd w:id="0"/>
      <w:r>
        <w:rPr>
          <w:rFonts w:hint="eastAsia" w:ascii="Times New Roman" w:hAnsi="Times New Roman" w:cs="Times New Roman" w:eastAsiaTheme="minorEastAsia"/>
          <w:kern w:val="2"/>
          <w:sz w:val="24"/>
          <w:szCs w:val="24"/>
          <w:lang w:val="en-US" w:eastAsia="zh-CN" w:bidi="ar-SA"/>
        </w:rPr>
        <w:t>中药学</w:t>
      </w:r>
      <w:r>
        <w:rPr>
          <w:rFonts w:hint="eastAsia" w:cs="Times New Roman" w:eastAsiaTheme="minorEastAsia"/>
          <w:kern w:val="2"/>
          <w:sz w:val="24"/>
          <w:szCs w:val="24"/>
          <w:lang w:val="en-US" w:eastAsia="zh-CN" w:bidi="ar-SA"/>
        </w:rPr>
        <w:t>行业</w:t>
      </w:r>
      <w:r>
        <w:rPr>
          <w:rFonts w:hint="eastAsia" w:ascii="Times New Roman" w:hAnsi="Times New Roman" w:cs="Times New Roman" w:eastAsiaTheme="minorEastAsia"/>
          <w:kern w:val="2"/>
          <w:sz w:val="24"/>
          <w:szCs w:val="24"/>
          <w:lang w:val="en-US" w:eastAsia="zh-CN" w:bidi="ar-SA"/>
        </w:rPr>
        <w:t>发</w:t>
      </w:r>
      <w:r>
        <w:rPr>
          <w:rFonts w:hint="eastAsia" w:cs="Times New Roman" w:eastAsiaTheme="minorEastAsia"/>
          <w:kern w:val="2"/>
          <w:sz w:val="24"/>
          <w:szCs w:val="24"/>
          <w:lang w:val="en-US" w:eastAsia="zh-CN" w:bidi="ar-SA"/>
        </w:rPr>
        <w:t>展</w:t>
      </w:r>
      <w:r>
        <w:rPr>
          <w:rFonts w:hint="eastAsia" w:ascii="Times New Roman" w:hAnsi="Times New Roman" w:cs="Times New Roman" w:eastAsiaTheme="minorEastAsia"/>
          <w:kern w:val="2"/>
          <w:sz w:val="24"/>
          <w:szCs w:val="24"/>
          <w:lang w:val="en-US" w:eastAsia="zh-CN" w:bidi="ar-SA"/>
        </w:rPr>
        <w:t>现状</w:t>
      </w:r>
    </w:p>
    <w:p>
      <w:pPr>
        <w:numPr>
          <w:ilvl w:val="0"/>
          <w:numId w:val="0"/>
        </w:numPr>
        <w:snapToGrid w:val="0"/>
        <w:spacing w:line="360" w:lineRule="auto"/>
        <w:ind w:leftChars="0"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据有关数据报道</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US" w:eastAsia="zh-CN"/>
        </w:rPr>
        <w:t>021 年开始实体药店中成药和药材类销售恢复增长，实体药店端中成药销售 1472 亿元，药材类销售 429 亿元，近 2000 亿元的市场规模有望受政策和需求推动持续扩张，成为零售实体药店中中药的增长品类。2022 年 3月，国家卫生健康委员会发布《新型冠状病毒肺炎诊疗方案(试行第九版)》，其中对于新冠病毒的中医治疗方法做出详细方案，依据感染者患病程度的不同，参考临床表现，国家卫健委给出相应的中成药用药方案，可以看到，多种中成药被纳入推荐用药名单。随着中国疫情防控措施的不断优化，消费者自我诊疗需求增加，中成药将成为家用常备药物，市场空间潜力巨大，中药品类销售有望快速增长。</w:t>
      </w:r>
    </w:p>
    <w:p>
      <w:pPr>
        <w:pStyle w:val="2"/>
      </w:pPr>
      <w:r>
        <w:drawing>
          <wp:inline distT="0" distB="0" distL="114300" distR="114300">
            <wp:extent cx="4000500" cy="2057400"/>
            <wp:effectExtent l="0" t="0" r="762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4000500" cy="2057400"/>
                    </a:xfrm>
                    <a:prstGeom prst="rect">
                      <a:avLst/>
                    </a:prstGeom>
                    <a:noFill/>
                    <a:ln>
                      <a:noFill/>
                    </a:ln>
                  </pic:spPr>
                </pic:pic>
              </a:graphicData>
            </a:graphic>
          </wp:inline>
        </w:drawing>
      </w:r>
    </w:p>
    <w:p>
      <w:pPr>
        <w:pStyle w:val="2"/>
        <w:spacing w:line="360" w:lineRule="auto"/>
        <w:rPr>
          <w:rFonts w:hint="default" w:ascii="Times New Roman" w:hAnsi="Times New Roman" w:cs="Times New Roman" w:eastAsiaTheme="minorEastAsia"/>
          <w:kern w:val="2"/>
          <w:sz w:val="24"/>
          <w:szCs w:val="24"/>
          <w:lang w:val="en-US" w:eastAsia="zh-CN" w:bidi="ar-SA"/>
        </w:rPr>
      </w:pPr>
      <w:r>
        <w:rPr>
          <w:rFonts w:hint="default" w:ascii="Times New Roman" w:hAnsi="Times New Roman" w:cs="Times New Roman" w:eastAsiaTheme="minorEastAsia"/>
          <w:kern w:val="2"/>
          <w:sz w:val="24"/>
          <w:szCs w:val="24"/>
          <w:lang w:val="en-US" w:eastAsia="zh-CN" w:bidi="ar-SA"/>
        </w:rPr>
        <w:t>2019 年以来，每年国务院都发布中医药传承相关文件</w:t>
      </w:r>
      <w:r>
        <w:rPr>
          <w:rFonts w:hint="eastAsia" w:cs="Times New Roman" w:eastAsiaTheme="minorEastAsia"/>
          <w:kern w:val="2"/>
          <w:sz w:val="24"/>
          <w:szCs w:val="24"/>
          <w:lang w:val="en-US" w:eastAsia="zh-CN" w:bidi="ar-SA"/>
        </w:rPr>
        <w:t>；</w:t>
      </w:r>
      <w:r>
        <w:rPr>
          <w:rFonts w:hint="default" w:ascii="Times New Roman" w:hAnsi="Times New Roman" w:cs="Times New Roman" w:eastAsiaTheme="minorEastAsia"/>
          <w:kern w:val="2"/>
          <w:sz w:val="24"/>
          <w:szCs w:val="24"/>
          <w:lang w:val="en-US" w:eastAsia="zh-CN" w:bidi="ar-SA"/>
        </w:rPr>
        <w:t>2023 年 2 月 28 日，国务院办公厅日前印发《中医药振兴发展重大工程实施方案》，进一步加大“十四五”期间对中医药发展的支持力度，着力推动中医药振兴发展。《方案》明确推进中医药振兴发展的基本原则，并统筹部署了8项重点工程，包括中医药健康服务高质量发展工程、中西医协同推进工程、中医药传承创新和现代化工程、中医药特色人才培养工程(岐黄工程)等，安排了 26 个建设项目。其中着重提到将加速中药服务体系建设和医保支付倾斜、纳入医院考核等政策的落地，进一步加快中医药行业总体发展速度，加强供给和需求端双向建设:直接利好我国中医药企业。</w:t>
      </w:r>
    </w:p>
    <w:p>
      <w:pPr>
        <w:pStyle w:val="2"/>
        <w:spacing w:line="360" w:lineRule="auto"/>
        <w:rPr>
          <w:rFonts w:hint="default" w:ascii="Times New Roman" w:hAnsi="Times New Roman" w:cs="Times New Roman" w:eastAsiaTheme="minorEastAsia"/>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1B73D"/>
    <w:multiLevelType w:val="singleLevel"/>
    <w:tmpl w:val="FF71B73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M2FlODNiYzhmNzZlODNjZjJjNTg1N2M4OTZmODAifQ=="/>
  </w:docVars>
  <w:rsids>
    <w:rsidRoot w:val="0A580E72"/>
    <w:rsid w:val="0A580E72"/>
    <w:rsid w:val="20785176"/>
    <w:rsid w:val="28EF40E2"/>
    <w:rsid w:val="38325D99"/>
    <w:rsid w:val="41EE0932"/>
    <w:rsid w:val="4ADD7DE7"/>
    <w:rsid w:val="4C3E2B07"/>
    <w:rsid w:val="5E5D506F"/>
    <w:rsid w:val="60A84FB9"/>
    <w:rsid w:val="67670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912</Words>
  <Characters>978</Characters>
  <Lines>0</Lines>
  <Paragraphs>0</Paragraphs>
  <TotalTime>1</TotalTime>
  <ScaleCrop>false</ScaleCrop>
  <LinksUpToDate>false</LinksUpToDate>
  <CharactersWithSpaces>997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2023-06-19T07:12:00Z</dcterms:created>
  <dc:creator>嘟嘟宝</dc:creator>
  <cp:lastModifiedBy>嘟嘟宝</cp:lastModifiedBy>
  <dcterms:modified xsi:type="dcterms:W3CDTF">2023-06-21T03:31:49Z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E9C2DE1D9AA546E6B64CB055C238E678_11</vt:lpwstr>
  </property>
</Properties>
</file>